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761" w14:textId="77777777" w:rsidR="00B13AC8" w:rsidRDefault="00000000">
      <w:pPr>
        <w:pStyle w:val="Title"/>
        <w:kinsoku w:val="0"/>
        <w:overflowPunct w:val="0"/>
        <w:spacing w:before="76"/>
        <w:ind w:left="1752"/>
        <w:rPr>
          <w:spacing w:val="-2"/>
        </w:rPr>
      </w:pPr>
      <w:r>
        <w:rPr>
          <w:noProof/>
        </w:rPr>
        <w:pict w14:anchorId="1738286E">
          <v:rect id="_x0000_s2052" style="position:absolute;left:0;text-align:left;margin-left:385pt;margin-top:19.45pt;width:98pt;height:25pt;z-index:1;mso-position-horizontal-relative:page" o:allowincell="f" filled="f" stroked="f">
            <v:textbox inset="0,0,0,0">
              <w:txbxContent>
                <w:p w14:paraId="0FFB8465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64B9225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8.25pt;height:24.75pt">
                        <v:imagedata r:id="rId6" o:title=""/>
                        <o:lock v:ext="edit" aspectratio="f"/>
                      </v:shape>
                    </w:pict>
                  </w:r>
                </w:p>
                <w:p w14:paraId="3F12C06D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6073D329">
          <v:rect id="_x0000_s2053" style="position:absolute;left:0;text-align:left;margin-left:42.35pt;margin-top:2.9pt;width:79pt;height:59pt;z-index:2;mso-position-horizontal-relative:page" o:allowincell="f" filled="f" stroked="f">
            <v:textbox inset="0,0,0,0">
              <w:txbxContent>
                <w:p w14:paraId="682A41D9" w14:textId="77777777" w:rsidR="00B13AC8" w:rsidRDefault="00000000">
                  <w:pPr>
                    <w:widowControl/>
                    <w:autoSpaceDE/>
                    <w:autoSpaceDN/>
                    <w:adjustRightInd/>
                    <w:spacing w:line="1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2D6837EE">
                      <v:shape id="_x0000_i1028" type="#_x0000_t75" style="width:78.75pt;height:59.25pt">
                        <v:imagedata r:id="rId7" o:title=""/>
                        <o:lock v:ext="edit" aspectratio="f"/>
                      </v:shape>
                    </w:pict>
                  </w:r>
                </w:p>
                <w:p w14:paraId="382D0C15" w14:textId="77777777" w:rsidR="00B13AC8" w:rsidRDefault="00B13A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13AC8">
        <w:t>Σχέδια</w:t>
      </w:r>
      <w:r w:rsidR="00B13AC8">
        <w:rPr>
          <w:spacing w:val="1"/>
        </w:rPr>
        <w:t xml:space="preserve"> </w:t>
      </w:r>
      <w:r w:rsidR="00B13AC8">
        <w:rPr>
          <w:spacing w:val="-2"/>
        </w:rPr>
        <w:t>ευρωπαϊκών</w:t>
      </w:r>
      <w:r w:rsidR="005D433B">
        <w:rPr>
          <w:spacing w:val="-2"/>
        </w:rPr>
        <w:t xml:space="preserve"> τηλεπικοινωνιακών</w:t>
      </w:r>
    </w:p>
    <w:p w14:paraId="4AE690A9" w14:textId="77777777" w:rsidR="00B13AC8" w:rsidRDefault="00B13AC8">
      <w:pPr>
        <w:pStyle w:val="Title"/>
        <w:kinsoku w:val="0"/>
        <w:overflowPunct w:val="0"/>
        <w:spacing w:line="242" w:lineRule="auto"/>
      </w:pPr>
      <w:proofErr w:type="spellStart"/>
      <w:r>
        <w:t>τυποποιητικών</w:t>
      </w:r>
      <w:proofErr w:type="spellEnd"/>
      <w:r>
        <w:t xml:space="preserve"> εγγράφων σε Δημόσια Κρίση</w:t>
      </w:r>
    </w:p>
    <w:p w14:paraId="0A4876DE" w14:textId="77777777" w:rsidR="00B13AC8" w:rsidRDefault="00B13AC8">
      <w:pPr>
        <w:pStyle w:val="BodyText"/>
        <w:kinsoku w:val="0"/>
        <w:overflowPunct w:val="0"/>
        <w:spacing w:before="151" w:after="1"/>
        <w:rPr>
          <w:sz w:val="20"/>
          <w:szCs w:val="20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B13AC8" w14:paraId="6F469E5F" w14:textId="77777777">
        <w:trPr>
          <w:trHeight w:val="557"/>
        </w:trPr>
        <w:tc>
          <w:tcPr>
            <w:tcW w:w="23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04E377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Κωδικός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σχεδίου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8" w:space="0" w:color="000000"/>
            </w:tcBorders>
          </w:tcPr>
          <w:p w14:paraId="6B970446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Τίτλος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σχεδίου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(Αγγλικά)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</w:tcPr>
          <w:p w14:paraId="1B8BEC8A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0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Ημ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ψήφισης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FE2E64" w14:textId="77777777" w:rsidR="00B13AC8" w:rsidRDefault="00B13AC8">
            <w:pPr>
              <w:pStyle w:val="TableParagraph"/>
              <w:kinsoku w:val="0"/>
              <w:overflowPunct w:val="0"/>
              <w:spacing w:before="39"/>
              <w:ind w:left="48"/>
              <w:rPr>
                <w:spacing w:val="-2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Ημ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. </w:t>
            </w:r>
            <w:r>
              <w:rPr>
                <w:spacing w:val="-2"/>
                <w:sz w:val="20"/>
                <w:szCs w:val="20"/>
              </w:rPr>
              <w:t>Ανακοίνωσης</w:t>
            </w:r>
          </w:p>
        </w:tc>
      </w:tr>
    </w:tbl>
    <w:p w14:paraId="03369FDF" w14:textId="77777777" w:rsidR="00B13AC8" w:rsidRDefault="00B13AC8">
      <w:pPr>
        <w:pStyle w:val="BodyText"/>
        <w:kinsoku w:val="0"/>
        <w:overflowPunct w:val="0"/>
        <w:rPr>
          <w:sz w:val="16"/>
          <w:szCs w:val="16"/>
        </w:rPr>
      </w:pPr>
    </w:p>
    <w:p w14:paraId="619FDD24" w14:textId="77777777" w:rsidR="00B13AC8" w:rsidRDefault="00B13AC8">
      <w:pPr>
        <w:pStyle w:val="BodyText"/>
        <w:kinsoku w:val="0"/>
        <w:overflowPunct w:val="0"/>
        <w:spacing w:before="23"/>
        <w:rPr>
          <w:sz w:val="16"/>
          <w:szCs w:val="16"/>
        </w:rPr>
      </w:pPr>
    </w:p>
    <w:p w14:paraId="4CF39196" w14:textId="77777777" w:rsidR="00DC27E4" w:rsidRDefault="00DC27E4">
      <w:pPr>
        <w:pStyle w:val="BodyText"/>
        <w:kinsoku w:val="0"/>
        <w:overflowPunct w:val="0"/>
        <w:spacing w:before="37"/>
      </w:pPr>
    </w:p>
    <w:p w14:paraId="3724FA5D" w14:textId="77777777" w:rsidR="00DC27E4" w:rsidRDefault="00DC27E4">
      <w:pPr>
        <w:pStyle w:val="BodyText"/>
        <w:kinsoku w:val="0"/>
        <w:overflowPunct w:val="0"/>
        <w:spacing w:before="37"/>
      </w:pPr>
    </w:p>
    <w:p w14:paraId="20A59795" w14:textId="77777777" w:rsidR="00DC27E4" w:rsidRDefault="00DC27E4" w:rsidP="00DC27E4">
      <w:pPr>
        <w:pStyle w:val="BodyText"/>
        <w:tabs>
          <w:tab w:val="left" w:pos="3479"/>
          <w:tab w:val="left" w:pos="4104"/>
        </w:tabs>
        <w:kinsoku w:val="0"/>
        <w:overflowPunct w:val="0"/>
        <w:spacing w:line="230" w:lineRule="exact"/>
        <w:ind w:left="590"/>
        <w:rPr>
          <w:spacing w:val="-10"/>
          <w:position w:val="-2"/>
        </w:rPr>
      </w:pPr>
      <w:r>
        <w:rPr>
          <w:sz w:val="16"/>
          <w:szCs w:val="16"/>
        </w:rPr>
        <w:t>Τομεακή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Επιτροπή:</w:t>
      </w:r>
      <w:r>
        <w:rPr>
          <w:sz w:val="16"/>
          <w:szCs w:val="16"/>
        </w:rPr>
        <w:tab/>
      </w:r>
      <w:r>
        <w:rPr>
          <w:position w:val="-2"/>
        </w:rPr>
        <w:t>5</w:t>
      </w:r>
      <w:r>
        <w:rPr>
          <w:spacing w:val="29"/>
          <w:position w:val="-2"/>
        </w:rPr>
        <w:t xml:space="preserve">  </w:t>
      </w:r>
      <w:r>
        <w:rPr>
          <w:spacing w:val="-10"/>
          <w:position w:val="-4"/>
          <w:sz w:val="20"/>
          <w:szCs w:val="20"/>
        </w:rPr>
        <w:t>-</w:t>
      </w:r>
      <w:r>
        <w:rPr>
          <w:position w:val="-4"/>
          <w:sz w:val="20"/>
          <w:szCs w:val="20"/>
        </w:rPr>
        <w:tab/>
      </w:r>
      <w:r>
        <w:rPr>
          <w:position w:val="-2"/>
        </w:rPr>
        <w:t>Επικοινωνίες</w:t>
      </w:r>
      <w:r>
        <w:rPr>
          <w:spacing w:val="-5"/>
          <w:position w:val="-2"/>
        </w:rPr>
        <w:t xml:space="preserve"> </w:t>
      </w:r>
      <w:r>
        <w:rPr>
          <w:spacing w:val="-10"/>
          <w:position w:val="-2"/>
        </w:rPr>
        <w:t>–</w:t>
      </w:r>
    </w:p>
    <w:p w14:paraId="0BB4E1C9" w14:textId="77777777" w:rsidR="00DC27E4" w:rsidRDefault="00DC27E4" w:rsidP="00DC27E4">
      <w:pPr>
        <w:pStyle w:val="BodyText"/>
        <w:kinsoku w:val="0"/>
        <w:overflowPunct w:val="0"/>
        <w:ind w:left="4104"/>
        <w:rPr>
          <w:spacing w:val="-2"/>
        </w:rPr>
      </w:pPr>
      <w:r>
        <w:rPr>
          <w:spacing w:val="-2"/>
        </w:rPr>
        <w:t>Ηλεκτρομαγνητική</w:t>
      </w:r>
      <w:r w:rsidR="00AB650F">
        <w:rPr>
          <w:spacing w:val="-2"/>
        </w:rPr>
        <w:t xml:space="preserve"> </w:t>
      </w:r>
      <w:r>
        <w:rPr>
          <w:spacing w:val="-2"/>
        </w:rPr>
        <w:t>Συμβατότητα/Ηλεκτρομαγνητικές</w:t>
      </w:r>
      <w:r w:rsidR="00AB650F">
        <w:rPr>
          <w:spacing w:val="-2"/>
        </w:rPr>
        <w:t xml:space="preserve"> </w:t>
      </w:r>
      <w:r>
        <w:rPr>
          <w:spacing w:val="-2"/>
        </w:rPr>
        <w:t>Παρεμβολές</w:t>
      </w:r>
    </w:p>
    <w:p w14:paraId="35468767" w14:textId="77777777" w:rsidR="00DC27E4" w:rsidRDefault="00DC27E4" w:rsidP="00DC27E4">
      <w:pPr>
        <w:pStyle w:val="BodyText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4251"/>
        <w:gridCol w:w="1296"/>
        <w:gridCol w:w="1246"/>
      </w:tblGrid>
      <w:tr w:rsidR="0077638C" w:rsidRPr="0077638C" w14:paraId="6890B0C6" w14:textId="77777777" w:rsidTr="0077638C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708BC8B2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ETSI EN 304 113 V1.0.0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3D9F3865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77638C">
              <w:rPr>
                <w:sz w:val="16"/>
                <w:szCs w:val="16"/>
                <w:lang w:val="en-US"/>
              </w:rPr>
              <w:t xml:space="preserve">Maritime satellite Emergency Position Indicating Radio Beacons (EPIRBs) for non-SOLAS vessels; Technical characteristics and methods of measurement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20434B8B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26-Φεβ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0B5C699" w14:textId="43E2512C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lang w:val="en-US"/>
              </w:rPr>
              <w:t>3-</w:t>
            </w:r>
            <w:r>
              <w:rPr>
                <w:spacing w:val="-2"/>
                <w:sz w:val="16"/>
                <w:szCs w:val="16"/>
              </w:rPr>
              <w:t>Δεκ</w:t>
            </w:r>
          </w:p>
        </w:tc>
      </w:tr>
      <w:tr w:rsidR="0077638C" w:rsidRPr="0077638C" w14:paraId="233305CB" w14:textId="77777777" w:rsidTr="0077638C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11DA89ED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ETSI EN 301 908-13 V13.4.0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07EA1574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77638C">
              <w:rPr>
                <w:sz w:val="16"/>
                <w:szCs w:val="16"/>
                <w:lang w:val="en-US"/>
              </w:rPr>
              <w:t xml:space="preserve">IMT cellular networks; </w:t>
            </w:r>
            <w:proofErr w:type="spellStart"/>
            <w:r w:rsidRPr="0077638C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77638C">
              <w:rPr>
                <w:sz w:val="16"/>
                <w:szCs w:val="16"/>
                <w:lang w:val="en-US"/>
              </w:rPr>
              <w:t xml:space="preserve"> Standard for access to radio spectrum; Part 13: Evolved Universal Terrestrial Radio Access (E-UTRA) User Equipment (UE)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3A45BA23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3-Μαρ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2002B6FF" w14:textId="07219584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12-Δεκ</w:t>
            </w:r>
          </w:p>
        </w:tc>
      </w:tr>
      <w:tr w:rsidR="0077638C" w:rsidRPr="0077638C" w14:paraId="66707D88" w14:textId="77777777" w:rsidTr="0077638C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7771F637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ETSI EN 302 326-2 V2.2.0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69FF8208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r w:rsidRPr="0077638C">
              <w:rPr>
                <w:sz w:val="16"/>
                <w:szCs w:val="16"/>
                <w:lang w:val="en-US"/>
              </w:rPr>
              <w:t xml:space="preserve">Fixed Radio Systems; Multipoint Equipment and Antennas; Part 2: </w:t>
            </w:r>
            <w:proofErr w:type="spellStart"/>
            <w:r w:rsidRPr="0077638C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77638C">
              <w:rPr>
                <w:sz w:val="16"/>
                <w:szCs w:val="16"/>
                <w:lang w:val="en-US"/>
              </w:rPr>
              <w:t xml:space="preserve"> Standard for access to radio spectrum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0A2C5609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3-Μαρ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61ED44AD" w14:textId="59D55F40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12-Δεκ</w:t>
            </w:r>
          </w:p>
        </w:tc>
      </w:tr>
      <w:tr w:rsidR="0077638C" w:rsidRPr="0077638C" w14:paraId="2064B864" w14:textId="77777777" w:rsidTr="0077638C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048CBEB3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ETSI EN 301 843-1 V2.3.0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267C88E9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proofErr w:type="spellStart"/>
            <w:r w:rsidRPr="0077638C">
              <w:rPr>
                <w:sz w:val="16"/>
                <w:szCs w:val="16"/>
                <w:lang w:val="en-US"/>
              </w:rPr>
              <w:t>ElectroMagnetic</w:t>
            </w:r>
            <w:proofErr w:type="spellEnd"/>
            <w:r w:rsidRPr="0077638C">
              <w:rPr>
                <w:sz w:val="16"/>
                <w:szCs w:val="16"/>
                <w:lang w:val="en-US"/>
              </w:rPr>
              <w:t xml:space="preserve"> Compatibility (EMC) standard for marine radio equipment and services; Part 1: Common technical requirements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129D08BF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8-Μαρ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2D654069" w14:textId="5E05C0BE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18-Δεκ</w:t>
            </w:r>
          </w:p>
        </w:tc>
      </w:tr>
      <w:tr w:rsidR="0077638C" w:rsidRPr="0077638C" w14:paraId="1F59E342" w14:textId="77777777" w:rsidTr="0077638C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5302894D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ETSI EN 301 843-2 V2.2.2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235A38EC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proofErr w:type="spellStart"/>
            <w:r w:rsidRPr="0077638C">
              <w:rPr>
                <w:sz w:val="16"/>
                <w:szCs w:val="16"/>
                <w:lang w:val="en-US"/>
              </w:rPr>
              <w:t>ElectroMagnetic</w:t>
            </w:r>
            <w:proofErr w:type="spellEnd"/>
            <w:r w:rsidRPr="0077638C">
              <w:rPr>
                <w:sz w:val="16"/>
                <w:szCs w:val="16"/>
                <w:lang w:val="en-US"/>
              </w:rPr>
              <w:t xml:space="preserve"> Compatibility (EMC) standard for marine radio equipment and services; </w:t>
            </w:r>
            <w:proofErr w:type="spellStart"/>
            <w:r w:rsidRPr="0077638C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77638C">
              <w:rPr>
                <w:sz w:val="16"/>
                <w:szCs w:val="16"/>
                <w:lang w:val="en-US"/>
              </w:rPr>
              <w:t xml:space="preserve"> Standard for electromagnetic compatibility; Part 2: Specific conditions for VHF radiotelephone transmitters and receivers operating in the frequency range 156 MHz to 174 MHz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5746896E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8-Μαρ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481316AE" w14:textId="7B81671F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18-Δεκ</w:t>
            </w:r>
          </w:p>
        </w:tc>
      </w:tr>
      <w:tr w:rsidR="0077638C" w:rsidRPr="0077638C" w14:paraId="1282EDC6" w14:textId="77777777" w:rsidTr="0077638C">
        <w:trPr>
          <w:trHeight w:val="646"/>
        </w:trPr>
        <w:tc>
          <w:tcPr>
            <w:tcW w:w="231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2" w:space="0" w:color="000000"/>
            </w:tcBorders>
          </w:tcPr>
          <w:p w14:paraId="567030D8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left="44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 xml:space="preserve">ETSI EN 301 843-8 V1.0.0 </w:t>
            </w:r>
          </w:p>
        </w:tc>
        <w:tc>
          <w:tcPr>
            <w:tcW w:w="4251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18" w:space="0" w:color="000000"/>
            </w:tcBorders>
          </w:tcPr>
          <w:p w14:paraId="290EAE74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 w:line="242" w:lineRule="auto"/>
              <w:ind w:left="49"/>
              <w:rPr>
                <w:sz w:val="16"/>
                <w:szCs w:val="16"/>
                <w:lang w:val="en-US"/>
              </w:rPr>
            </w:pPr>
            <w:proofErr w:type="spellStart"/>
            <w:r w:rsidRPr="0077638C">
              <w:rPr>
                <w:sz w:val="16"/>
                <w:szCs w:val="16"/>
                <w:lang w:val="en-US"/>
              </w:rPr>
              <w:t>ElectroMagnetic</w:t>
            </w:r>
            <w:proofErr w:type="spellEnd"/>
            <w:r w:rsidRPr="0077638C">
              <w:rPr>
                <w:sz w:val="16"/>
                <w:szCs w:val="16"/>
                <w:lang w:val="en-US"/>
              </w:rPr>
              <w:t xml:space="preserve"> Compatibility (EMC) standard for marine radio equipment and services; </w:t>
            </w:r>
            <w:proofErr w:type="spellStart"/>
            <w:r w:rsidRPr="0077638C">
              <w:rPr>
                <w:sz w:val="16"/>
                <w:szCs w:val="16"/>
                <w:lang w:val="en-US"/>
              </w:rPr>
              <w:t>Harmonised</w:t>
            </w:r>
            <w:proofErr w:type="spellEnd"/>
            <w:r w:rsidRPr="0077638C">
              <w:rPr>
                <w:sz w:val="16"/>
                <w:szCs w:val="16"/>
                <w:lang w:val="en-US"/>
              </w:rPr>
              <w:t xml:space="preserve"> Standard for electromagnetic compatibility; Part 8: Specific conditions for radio beacons and locating devices </w:t>
            </w:r>
          </w:p>
        </w:tc>
        <w:tc>
          <w:tcPr>
            <w:tcW w:w="1296" w:type="dxa"/>
            <w:tcBorders>
              <w:top w:val="single" w:sz="36" w:space="0" w:color="000000"/>
              <w:left w:val="single" w:sz="18" w:space="0" w:color="000000"/>
              <w:bottom w:val="single" w:sz="36" w:space="0" w:color="000000"/>
              <w:right w:val="single" w:sz="12" w:space="0" w:color="000000"/>
            </w:tcBorders>
          </w:tcPr>
          <w:p w14:paraId="334765C4" w14:textId="7777777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z w:val="16"/>
                <w:szCs w:val="16"/>
              </w:rPr>
            </w:pPr>
            <w:r w:rsidRPr="0077638C">
              <w:rPr>
                <w:sz w:val="16"/>
                <w:szCs w:val="16"/>
              </w:rPr>
              <w:t>8-Μαρ</w:t>
            </w:r>
          </w:p>
        </w:tc>
        <w:tc>
          <w:tcPr>
            <w:tcW w:w="1246" w:type="dxa"/>
            <w:tcBorders>
              <w:top w:val="single" w:sz="36" w:space="0" w:color="000000"/>
              <w:left w:val="single" w:sz="12" w:space="0" w:color="000000"/>
              <w:bottom w:val="single" w:sz="36" w:space="0" w:color="000000"/>
              <w:right w:val="single" w:sz="8" w:space="0" w:color="000000"/>
            </w:tcBorders>
          </w:tcPr>
          <w:p w14:paraId="5517F0EF" w14:textId="10326C57" w:rsidR="0077638C" w:rsidRPr="0077638C" w:rsidRDefault="0077638C" w:rsidP="0077638C">
            <w:pPr>
              <w:pStyle w:val="TableParagraph"/>
              <w:kinsoku w:val="0"/>
              <w:overflowPunct w:val="0"/>
              <w:spacing w:before="30"/>
              <w:ind w:right="18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18-Δεκ</w:t>
            </w:r>
          </w:p>
        </w:tc>
      </w:tr>
    </w:tbl>
    <w:p w14:paraId="7186077F" w14:textId="77777777" w:rsidR="00DC27E4" w:rsidRPr="007E472C" w:rsidRDefault="00DC27E4" w:rsidP="00922C80">
      <w:pPr>
        <w:pStyle w:val="BodyText"/>
        <w:kinsoku w:val="0"/>
        <w:overflowPunct w:val="0"/>
        <w:spacing w:before="37"/>
        <w:rPr>
          <w:lang w:val="en-US"/>
        </w:rPr>
      </w:pPr>
    </w:p>
    <w:sectPr w:rsidR="00DC27E4" w:rsidRPr="007E472C">
      <w:pgSz w:w="11910" w:h="16850"/>
      <w:pgMar w:top="1680" w:right="1680" w:bottom="1240" w:left="700" w:header="1114" w:footer="10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3116" w14:textId="77777777" w:rsidR="00F721DE" w:rsidRDefault="00F721DE">
      <w:r>
        <w:separator/>
      </w:r>
    </w:p>
  </w:endnote>
  <w:endnote w:type="continuationSeparator" w:id="0">
    <w:p w14:paraId="21830EF2" w14:textId="77777777" w:rsidR="00F721DE" w:rsidRDefault="00F7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AC44" w14:textId="77777777" w:rsidR="00F721DE" w:rsidRDefault="00F721DE">
      <w:r>
        <w:separator/>
      </w:r>
    </w:p>
  </w:footnote>
  <w:footnote w:type="continuationSeparator" w:id="0">
    <w:p w14:paraId="24A36C06" w14:textId="77777777" w:rsidR="00F721DE" w:rsidRDefault="00F72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07F"/>
    <w:rsid w:val="00113282"/>
    <w:rsid w:val="0012641A"/>
    <w:rsid w:val="00196BAF"/>
    <w:rsid w:val="001C52B5"/>
    <w:rsid w:val="00223DD7"/>
    <w:rsid w:val="002A0012"/>
    <w:rsid w:val="002F007F"/>
    <w:rsid w:val="00313F48"/>
    <w:rsid w:val="003D5BE2"/>
    <w:rsid w:val="0046294D"/>
    <w:rsid w:val="004A0757"/>
    <w:rsid w:val="004E1996"/>
    <w:rsid w:val="0053611D"/>
    <w:rsid w:val="005657E0"/>
    <w:rsid w:val="005D433B"/>
    <w:rsid w:val="005E17FD"/>
    <w:rsid w:val="005F1E60"/>
    <w:rsid w:val="005F774E"/>
    <w:rsid w:val="00602602"/>
    <w:rsid w:val="00626C45"/>
    <w:rsid w:val="00641FAF"/>
    <w:rsid w:val="00674D4A"/>
    <w:rsid w:val="0068273E"/>
    <w:rsid w:val="006C1523"/>
    <w:rsid w:val="00705864"/>
    <w:rsid w:val="007101BF"/>
    <w:rsid w:val="00712EC4"/>
    <w:rsid w:val="00771867"/>
    <w:rsid w:val="0077638C"/>
    <w:rsid w:val="007852B4"/>
    <w:rsid w:val="007D406B"/>
    <w:rsid w:val="007E472C"/>
    <w:rsid w:val="00835B1E"/>
    <w:rsid w:val="00922C80"/>
    <w:rsid w:val="009402F1"/>
    <w:rsid w:val="009673ED"/>
    <w:rsid w:val="009811C2"/>
    <w:rsid w:val="009C32C2"/>
    <w:rsid w:val="009C414A"/>
    <w:rsid w:val="00AA0301"/>
    <w:rsid w:val="00AB5DC0"/>
    <w:rsid w:val="00AB650F"/>
    <w:rsid w:val="00AC1CDA"/>
    <w:rsid w:val="00B13AC8"/>
    <w:rsid w:val="00B51F83"/>
    <w:rsid w:val="00B62EA7"/>
    <w:rsid w:val="00BF4A3E"/>
    <w:rsid w:val="00CB6541"/>
    <w:rsid w:val="00D8388E"/>
    <w:rsid w:val="00DB5DDA"/>
    <w:rsid w:val="00DC27E4"/>
    <w:rsid w:val="00EB705E"/>
    <w:rsid w:val="00EE00E5"/>
    <w:rsid w:val="00EF3583"/>
    <w:rsid w:val="00F474DF"/>
    <w:rsid w:val="00F567A5"/>
    <w:rsid w:val="00F721DE"/>
    <w:rsid w:val="00FE7B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789E5B78"/>
  <w14:defaultImageDpi w14:val="0"/>
  <w15:docId w15:val="{CB85224C-1841-430C-B9B7-DB25824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ahoma" w:hAnsi="Tahoma" w:cs="Tahoma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"/>
      <w:ind w:left="1748" w:right="2623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6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B650F"/>
    <w:rPr>
      <w:rFonts w:ascii="Tahoma" w:hAnsi="Tahoma" w:cs="Tahom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65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B650F"/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Psyrris</dc:creator>
  <cp:keywords/>
  <dc:description/>
  <cp:lastModifiedBy>Alexandros Psyrris</cp:lastModifiedBy>
  <cp:revision>3</cp:revision>
  <dcterms:created xsi:type="dcterms:W3CDTF">2026-02-02T09:38:00Z</dcterms:created>
  <dcterms:modified xsi:type="dcterms:W3CDTF">2026-02-02T09:43:00Z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Access® for Microsoft 365</vt:lpwstr>
  </property>
  <property fmtid="{D5CDD505-2E9C-101B-9397-08002B2CF9AE}" pid="3" name="Producer">
    <vt:lpwstr>Microsoft® Access® for Microsoft 365</vt:lpwstr>
  </property>
</Properties>
</file>