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FD761" w14:textId="5E287805" w:rsidR="00B13AC8" w:rsidRDefault="003D7F06">
      <w:pPr>
        <w:pStyle w:val="Title"/>
        <w:kinsoku w:val="0"/>
        <w:overflowPunct w:val="0"/>
        <w:spacing w:before="76"/>
        <w:ind w:left="1752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738286E" wp14:editId="14C17EC1">
                <wp:simplePos x="0" y="0"/>
                <wp:positionH relativeFrom="page">
                  <wp:posOffset>4889500</wp:posOffset>
                </wp:positionH>
                <wp:positionV relativeFrom="paragraph">
                  <wp:posOffset>247015</wp:posOffset>
                </wp:positionV>
                <wp:extent cx="1244600" cy="317500"/>
                <wp:effectExtent l="0" t="0" r="0" b="0"/>
                <wp:wrapNone/>
                <wp:docPr id="13518392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B8465" w14:textId="70CED585" w:rsidR="00B13AC8" w:rsidRDefault="003D7F06">
                            <w:pPr>
                              <w:spacing w:line="50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B9225D" wp14:editId="603F2081">
                                  <wp:extent cx="1247775" cy="31432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7775" cy="314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12C06D" w14:textId="77777777" w:rsidR="00B13AC8" w:rsidRDefault="00B13A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8286E" id="Rectangle 4" o:spid="_x0000_s1026" style="position:absolute;left:0;text-align:left;margin-left:385pt;margin-top:19.45pt;width:98pt;height: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" o:allowincell="f" filled="f" stroked="f">
                <v:textbox inset="0,0,0,0">
                  <w:txbxContent>
                    <w:p w14:paraId="0FFB8465" w14:textId="70CED585" w:rsidR="00B13AC8" w:rsidRDefault="003D7F06">
                      <w:pPr>
                        <w:spacing w:line="50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4B9225D" wp14:editId="603F2081">
                            <wp:extent cx="1247775" cy="314325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7775" cy="314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12C06D" w14:textId="77777777" w:rsidR="00B13AC8" w:rsidRDefault="00B13AC8"/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073D329" wp14:editId="4848741F">
                <wp:simplePos x="0" y="0"/>
                <wp:positionH relativeFrom="page">
                  <wp:posOffset>537845</wp:posOffset>
                </wp:positionH>
                <wp:positionV relativeFrom="paragraph">
                  <wp:posOffset>36830</wp:posOffset>
                </wp:positionV>
                <wp:extent cx="1003300" cy="749300"/>
                <wp:effectExtent l="0" t="0" r="0" b="0"/>
                <wp:wrapNone/>
                <wp:docPr id="7736352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0" cy="74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A41D9" w14:textId="464A2032" w:rsidR="00B13AC8" w:rsidRDefault="003D7F06">
                            <w:pPr>
                              <w:spacing w:line="1180" w:lineRule="atLeas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6837EE" wp14:editId="3D1769FF">
                                  <wp:extent cx="1000125" cy="752475"/>
                                  <wp:effectExtent l="0" t="0" r="0" b="0"/>
                                  <wp:docPr id="4" name="Picture 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0125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2D0C15" w14:textId="77777777" w:rsidR="00B13AC8" w:rsidRDefault="00B13AC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3D329" id="Rectangle 5" o:spid="_x0000_s1027" style="position:absolute;left:0;text-align:left;margin-left:42.35pt;margin-top:2.9pt;width:79pt;height:5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" o:allowincell="f" filled="f" stroked="f">
                <v:textbox inset="0,0,0,0">
                  <w:txbxContent>
                    <w:p w14:paraId="682A41D9" w14:textId="464A2032" w:rsidR="00B13AC8" w:rsidRDefault="003D7F06">
                      <w:pPr>
                        <w:spacing w:line="1180" w:lineRule="atLeas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D6837EE" wp14:editId="3D1769FF">
                            <wp:extent cx="1000125" cy="752475"/>
                            <wp:effectExtent l="0" t="0" r="0" b="0"/>
                            <wp:docPr id="4" name="Picture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0125" cy="752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2D0C15" w14:textId="77777777" w:rsidR="00B13AC8" w:rsidRDefault="00B13AC8"/>
                  </w:txbxContent>
                </v:textbox>
                <w10:wrap anchorx="page"/>
              </v:rect>
            </w:pict>
          </mc:Fallback>
        </mc:AlternateContent>
      </w:r>
      <w:r w:rsidR="00B13AC8">
        <w:t>Σχέδια</w:t>
      </w:r>
      <w:r w:rsidR="00B13AC8">
        <w:rPr>
          <w:spacing w:val="1"/>
        </w:rPr>
        <w:t xml:space="preserve"> </w:t>
      </w:r>
      <w:r w:rsidR="00B13AC8">
        <w:rPr>
          <w:spacing w:val="-2"/>
        </w:rPr>
        <w:t>ευρωπαϊκών</w:t>
      </w:r>
      <w:r w:rsidR="005D433B">
        <w:rPr>
          <w:spacing w:val="-2"/>
        </w:rPr>
        <w:t xml:space="preserve"> τηλεπικοινωνιακών</w:t>
      </w:r>
    </w:p>
    <w:p w14:paraId="4AE690A9" w14:textId="77777777" w:rsidR="00B13AC8" w:rsidRDefault="00B13AC8">
      <w:pPr>
        <w:pStyle w:val="Title"/>
        <w:kinsoku w:val="0"/>
        <w:overflowPunct w:val="0"/>
        <w:spacing w:line="242" w:lineRule="auto"/>
      </w:pPr>
      <w:r>
        <w:t>τυποποιητικών εγγράφων σε Δημόσια Κρίση</w:t>
      </w:r>
    </w:p>
    <w:p w14:paraId="0A4876DE" w14:textId="77777777" w:rsidR="00B13AC8" w:rsidRDefault="00B13AC8">
      <w:pPr>
        <w:pStyle w:val="BodyText"/>
        <w:kinsoku w:val="0"/>
        <w:overflowPunct w:val="0"/>
        <w:spacing w:before="151" w:after="1"/>
        <w:rPr>
          <w:sz w:val="20"/>
          <w:szCs w:val="20"/>
        </w:rPr>
      </w:pPr>
    </w:p>
    <w:tbl>
      <w:tblPr>
        <w:tblW w:w="0" w:type="auto"/>
        <w:tblInd w:w="1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6"/>
        <w:gridCol w:w="4251"/>
        <w:gridCol w:w="1296"/>
        <w:gridCol w:w="1246"/>
      </w:tblGrid>
      <w:tr w:rsidR="00B13AC8" w14:paraId="6F469E5F" w14:textId="77777777">
        <w:trPr>
          <w:trHeight w:val="557"/>
        </w:trPr>
        <w:tc>
          <w:tcPr>
            <w:tcW w:w="231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904E377" w14:textId="77777777" w:rsidR="00B13AC8" w:rsidRDefault="00B13AC8">
            <w:pPr>
              <w:pStyle w:val="TableParagraph"/>
              <w:kinsoku w:val="0"/>
              <w:overflowPunct w:val="0"/>
              <w:spacing w:before="39"/>
              <w:ind w:left="42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Κωδικός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σχεδίου</w:t>
            </w:r>
          </w:p>
        </w:tc>
        <w:tc>
          <w:tcPr>
            <w:tcW w:w="425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</w:tcPr>
          <w:p w14:paraId="6B970446" w14:textId="77777777" w:rsidR="00B13AC8" w:rsidRDefault="00B13AC8">
            <w:pPr>
              <w:pStyle w:val="TableParagraph"/>
              <w:kinsoku w:val="0"/>
              <w:overflowPunct w:val="0"/>
              <w:spacing w:before="39"/>
              <w:ind w:left="48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Τίτλος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σχεδίου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(Αγγλικά)</w:t>
            </w:r>
          </w:p>
        </w:tc>
        <w:tc>
          <w:tcPr>
            <w:tcW w:w="1296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</w:tcPr>
          <w:p w14:paraId="1B8BEC8A" w14:textId="77777777" w:rsidR="00B13AC8" w:rsidRDefault="00B13AC8">
            <w:pPr>
              <w:pStyle w:val="TableParagraph"/>
              <w:kinsoku w:val="0"/>
              <w:overflowPunct w:val="0"/>
              <w:spacing w:before="39"/>
              <w:ind w:left="40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Ημ.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ψήφισης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1FE2E64" w14:textId="77777777" w:rsidR="00B13AC8" w:rsidRDefault="00B13AC8">
            <w:pPr>
              <w:pStyle w:val="TableParagraph"/>
              <w:kinsoku w:val="0"/>
              <w:overflowPunct w:val="0"/>
              <w:spacing w:before="39"/>
              <w:ind w:left="48"/>
              <w:rPr>
                <w:spacing w:val="-2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Ημ. </w:t>
            </w:r>
            <w:r>
              <w:rPr>
                <w:spacing w:val="-2"/>
                <w:sz w:val="20"/>
                <w:szCs w:val="20"/>
              </w:rPr>
              <w:t>Ανακοίνωσης</w:t>
            </w:r>
          </w:p>
        </w:tc>
      </w:tr>
    </w:tbl>
    <w:p w14:paraId="03369FDF" w14:textId="77777777" w:rsidR="00B13AC8" w:rsidRDefault="00B13AC8">
      <w:pPr>
        <w:pStyle w:val="BodyText"/>
        <w:kinsoku w:val="0"/>
        <w:overflowPunct w:val="0"/>
        <w:rPr>
          <w:sz w:val="16"/>
          <w:szCs w:val="16"/>
        </w:rPr>
      </w:pPr>
    </w:p>
    <w:p w14:paraId="619FDD24" w14:textId="77777777" w:rsidR="00B13AC8" w:rsidRDefault="00B13AC8">
      <w:pPr>
        <w:pStyle w:val="BodyText"/>
        <w:kinsoku w:val="0"/>
        <w:overflowPunct w:val="0"/>
        <w:spacing w:before="23"/>
        <w:rPr>
          <w:sz w:val="16"/>
          <w:szCs w:val="16"/>
        </w:rPr>
      </w:pPr>
    </w:p>
    <w:p w14:paraId="4CF39196" w14:textId="77777777" w:rsidR="00DC27E4" w:rsidRDefault="00DC27E4">
      <w:pPr>
        <w:pStyle w:val="BodyText"/>
        <w:kinsoku w:val="0"/>
        <w:overflowPunct w:val="0"/>
        <w:spacing w:before="37"/>
      </w:pPr>
    </w:p>
    <w:p w14:paraId="3724FA5D" w14:textId="77777777" w:rsidR="00DC27E4" w:rsidRDefault="00DC27E4">
      <w:pPr>
        <w:pStyle w:val="BodyText"/>
        <w:kinsoku w:val="0"/>
        <w:overflowPunct w:val="0"/>
        <w:spacing w:before="37"/>
      </w:pPr>
    </w:p>
    <w:p w14:paraId="20A59795" w14:textId="77777777" w:rsidR="00DC27E4" w:rsidRDefault="00DC27E4" w:rsidP="00DC27E4">
      <w:pPr>
        <w:pStyle w:val="BodyText"/>
        <w:tabs>
          <w:tab w:val="left" w:pos="3479"/>
          <w:tab w:val="left" w:pos="4104"/>
        </w:tabs>
        <w:kinsoku w:val="0"/>
        <w:overflowPunct w:val="0"/>
        <w:spacing w:line="230" w:lineRule="exact"/>
        <w:ind w:left="590"/>
        <w:rPr>
          <w:spacing w:val="-10"/>
          <w:position w:val="-2"/>
        </w:rPr>
      </w:pPr>
      <w:r>
        <w:rPr>
          <w:sz w:val="16"/>
          <w:szCs w:val="16"/>
        </w:rPr>
        <w:t>Τομεακή</w:t>
      </w:r>
      <w:r>
        <w:rPr>
          <w:spacing w:val="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Επιτροπή:</w:t>
      </w:r>
      <w:r>
        <w:rPr>
          <w:sz w:val="16"/>
          <w:szCs w:val="16"/>
        </w:rPr>
        <w:tab/>
      </w:r>
      <w:r>
        <w:rPr>
          <w:position w:val="-2"/>
        </w:rPr>
        <w:t>5</w:t>
      </w:r>
      <w:r>
        <w:rPr>
          <w:spacing w:val="29"/>
          <w:position w:val="-2"/>
        </w:rPr>
        <w:t xml:space="preserve">  </w:t>
      </w:r>
      <w:r>
        <w:rPr>
          <w:spacing w:val="-10"/>
          <w:position w:val="-4"/>
          <w:sz w:val="20"/>
          <w:szCs w:val="20"/>
        </w:rPr>
        <w:t>-</w:t>
      </w:r>
      <w:r>
        <w:rPr>
          <w:position w:val="-4"/>
          <w:sz w:val="20"/>
          <w:szCs w:val="20"/>
        </w:rPr>
        <w:tab/>
      </w:r>
      <w:r>
        <w:rPr>
          <w:position w:val="-2"/>
        </w:rPr>
        <w:t>Επικοινωνίες</w:t>
      </w:r>
      <w:r>
        <w:rPr>
          <w:spacing w:val="-5"/>
          <w:position w:val="-2"/>
        </w:rPr>
        <w:t xml:space="preserve"> </w:t>
      </w:r>
      <w:r>
        <w:rPr>
          <w:spacing w:val="-10"/>
          <w:position w:val="-2"/>
        </w:rPr>
        <w:t>–</w:t>
      </w:r>
    </w:p>
    <w:p w14:paraId="0BB4E1C9" w14:textId="77777777" w:rsidR="00DC27E4" w:rsidRDefault="00DC27E4" w:rsidP="00DC27E4">
      <w:pPr>
        <w:pStyle w:val="BodyText"/>
        <w:kinsoku w:val="0"/>
        <w:overflowPunct w:val="0"/>
        <w:ind w:left="4104"/>
        <w:rPr>
          <w:spacing w:val="-2"/>
        </w:rPr>
      </w:pPr>
      <w:r>
        <w:rPr>
          <w:spacing w:val="-2"/>
        </w:rPr>
        <w:t>Ηλεκτρομαγνητική</w:t>
      </w:r>
      <w:r w:rsidR="00AB650F">
        <w:rPr>
          <w:spacing w:val="-2"/>
        </w:rPr>
        <w:t xml:space="preserve"> </w:t>
      </w:r>
      <w:r>
        <w:rPr>
          <w:spacing w:val="-2"/>
        </w:rPr>
        <w:t>Συμβατότητα/Ηλεκτρομαγνητικές</w:t>
      </w:r>
      <w:r w:rsidR="00AB650F">
        <w:rPr>
          <w:spacing w:val="-2"/>
        </w:rPr>
        <w:t xml:space="preserve"> </w:t>
      </w:r>
      <w:r>
        <w:rPr>
          <w:spacing w:val="-2"/>
        </w:rPr>
        <w:t>Παρεμβολές</w:t>
      </w:r>
    </w:p>
    <w:p w14:paraId="35468767" w14:textId="77777777" w:rsidR="00DC27E4" w:rsidRDefault="00DC27E4" w:rsidP="00DC27E4">
      <w:pPr>
        <w:pStyle w:val="BodyText"/>
        <w:kinsoku w:val="0"/>
        <w:overflowPunct w:val="0"/>
        <w:spacing w:before="2"/>
        <w:rPr>
          <w:sz w:val="7"/>
          <w:szCs w:val="7"/>
        </w:rPr>
      </w:pPr>
    </w:p>
    <w:tbl>
      <w:tblPr>
        <w:tblW w:w="9092" w:type="dxa"/>
        <w:tblInd w:w="2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16"/>
        <w:gridCol w:w="4251"/>
        <w:gridCol w:w="1296"/>
        <w:gridCol w:w="1229"/>
      </w:tblGrid>
      <w:tr w:rsidR="008178C9" w:rsidRPr="008178C9" w14:paraId="03E6340A" w14:textId="77777777" w:rsidTr="006E1CC9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5CCE1E32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 xml:space="preserve">ETSI EN 302 448 V2.1.18 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6A695980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8178C9">
              <w:rPr>
                <w:sz w:val="16"/>
                <w:szCs w:val="16"/>
                <w:lang w:val="en-US"/>
              </w:rPr>
              <w:t xml:space="preserve">Satellite Earth Stations and Systems (SES); Earth Stations on Trains (ESTs) operating in the 11/12/14 GHz frequency bands; Harmonised Standard for access to radio spectrum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669B6E92" w14:textId="5F1C9DC6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Pr="008178C9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Δεκ</w:t>
            </w:r>
          </w:p>
        </w:tc>
        <w:tc>
          <w:tcPr>
            <w:tcW w:w="1229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73EDC688" w14:textId="27B5F6EE" w:rsidR="008178C9" w:rsidRPr="008178C9" w:rsidRDefault="006E1C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17-Σεπ</w:t>
            </w:r>
          </w:p>
        </w:tc>
      </w:tr>
      <w:tr w:rsidR="006E1CC9" w:rsidRPr="008178C9" w14:paraId="0A61DDDE" w14:textId="77777777" w:rsidTr="006E1CC9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5FBCD843" w14:textId="4D4D3B4F" w:rsidR="006E1CC9" w:rsidRPr="006E1CC9" w:rsidRDefault="006E1CC9" w:rsidP="006E1CC9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6E1CC9">
              <w:rPr>
                <w:sz w:val="16"/>
                <w:szCs w:val="16"/>
              </w:rPr>
              <w:t>ETSI EN 302 099 V2.3.0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6AC17BB9" w14:textId="26E92DED" w:rsidR="006E1CC9" w:rsidRPr="006E1CC9" w:rsidRDefault="006E1CC9" w:rsidP="006E1CC9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6E1CC9">
              <w:rPr>
                <w:sz w:val="16"/>
                <w:szCs w:val="16"/>
                <w:lang w:val="en-US"/>
              </w:rPr>
              <w:t xml:space="preserve">Environmental Engineering (EE); Powering of equipment in access network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1BB44BF0" w14:textId="5A93A9F9" w:rsidR="006E1CC9" w:rsidRPr="006E1CC9" w:rsidRDefault="006E1CC9" w:rsidP="006E1CC9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  <w:lang w:val="en-US"/>
              </w:rPr>
            </w:pPr>
            <w:r w:rsidRPr="006E1CC9">
              <w:rPr>
                <w:sz w:val="16"/>
                <w:szCs w:val="16"/>
              </w:rPr>
              <w:t>4-Δεκ</w:t>
            </w:r>
          </w:p>
        </w:tc>
        <w:tc>
          <w:tcPr>
            <w:tcW w:w="1229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6ED206F5" w14:textId="55F84029" w:rsidR="006E1CC9" w:rsidRPr="006E1CC9" w:rsidRDefault="006E1CC9" w:rsidP="006E1CC9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 w:rsidRPr="006E1CC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6E1CC9">
              <w:rPr>
                <w:sz w:val="16"/>
                <w:szCs w:val="16"/>
              </w:rPr>
              <w:t xml:space="preserve">-Σεπ </w:t>
            </w:r>
          </w:p>
        </w:tc>
      </w:tr>
      <w:tr w:rsidR="008178C9" w:rsidRPr="008178C9" w14:paraId="47B2E23A" w14:textId="77777777" w:rsidTr="006E1CC9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31671503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 xml:space="preserve">ETSI EN 303 994-1 V1.1.2 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5A9DE277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8178C9">
              <w:rPr>
                <w:sz w:val="16"/>
                <w:szCs w:val="16"/>
                <w:lang w:val="en-US"/>
              </w:rPr>
              <w:t xml:space="preserve">Cyber Security (CYBER); Privileged Access Workstations; Part 1: Physical Device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7605C8EB" w14:textId="3F49F086" w:rsidR="008178C9" w:rsidRPr="008178C9" w:rsidRDefault="006E1C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="008178C9" w:rsidRPr="008178C9">
              <w:rPr>
                <w:sz w:val="16"/>
                <w:szCs w:val="16"/>
              </w:rPr>
              <w:t>-Δεκ</w:t>
            </w:r>
          </w:p>
        </w:tc>
        <w:tc>
          <w:tcPr>
            <w:tcW w:w="1229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56F9C978" w14:textId="21F021F3" w:rsidR="008178C9" w:rsidRPr="008178C9" w:rsidRDefault="006E1C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 w:rsidRPr="006E1CC9">
              <w:rPr>
                <w:spacing w:val="-2"/>
                <w:sz w:val="16"/>
                <w:szCs w:val="16"/>
              </w:rPr>
              <w:t>19-Οκτ</w:t>
            </w:r>
          </w:p>
        </w:tc>
      </w:tr>
      <w:tr w:rsidR="008178C9" w:rsidRPr="008178C9" w14:paraId="2656E00A" w14:textId="77777777" w:rsidTr="006E1CC9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349D988C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 xml:space="preserve">ETSI EN 303 994-2 V1.1.2 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1CF205A8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8178C9">
              <w:rPr>
                <w:sz w:val="16"/>
                <w:szCs w:val="16"/>
                <w:lang w:val="en-US"/>
              </w:rPr>
              <w:t xml:space="preserve">Cyber Security (CYBER); Privileged Access Workstations; Part 2: Connectivity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0BCFCCDC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>18-Δεκ</w:t>
            </w:r>
          </w:p>
        </w:tc>
        <w:tc>
          <w:tcPr>
            <w:tcW w:w="1229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3DF2CAB2" w14:textId="5BC9A3BD" w:rsidR="008178C9" w:rsidRPr="008178C9" w:rsidRDefault="006E1C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 w:rsidRPr="006E1CC9">
              <w:rPr>
                <w:spacing w:val="-2"/>
                <w:sz w:val="16"/>
                <w:szCs w:val="16"/>
              </w:rPr>
              <w:t>19-Οκτ</w:t>
            </w:r>
          </w:p>
        </w:tc>
      </w:tr>
      <w:tr w:rsidR="008178C9" w:rsidRPr="008178C9" w14:paraId="021A6802" w14:textId="77777777" w:rsidTr="006E1CC9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6DDD9D25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 xml:space="preserve">ETSI EN 303 994-3 V1.1.2 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69E29983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8178C9">
              <w:rPr>
                <w:sz w:val="16"/>
                <w:szCs w:val="16"/>
                <w:lang w:val="en-US"/>
              </w:rPr>
              <w:t xml:space="preserve">Cyber Security (CYBER); Privileged Access Workstations; Part 3: System Integration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35282735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>18-Δεκ</w:t>
            </w:r>
          </w:p>
        </w:tc>
        <w:tc>
          <w:tcPr>
            <w:tcW w:w="1229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6074F651" w14:textId="056CD2A2" w:rsidR="008178C9" w:rsidRPr="008178C9" w:rsidRDefault="006E1C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 w:rsidRPr="006E1CC9">
              <w:rPr>
                <w:spacing w:val="-2"/>
                <w:sz w:val="16"/>
                <w:szCs w:val="16"/>
              </w:rPr>
              <w:t>19-Οκτ</w:t>
            </w:r>
          </w:p>
        </w:tc>
      </w:tr>
      <w:tr w:rsidR="008178C9" w:rsidRPr="008178C9" w14:paraId="4959CD7C" w14:textId="77777777" w:rsidTr="006E1CC9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4A14BB64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 xml:space="preserve">ETSI EN 301 428 V2.1.3 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1865BAAF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8178C9">
              <w:rPr>
                <w:sz w:val="16"/>
                <w:szCs w:val="16"/>
                <w:lang w:val="en-US"/>
              </w:rPr>
              <w:t xml:space="preserve">Satellite Earth Stations and Systems (SES); Very Small Aperture Terminal (VSAT); Transmit-only, transmit/receive or receive-only satellite earth stations operating in the 11/12/14 GHz frequency bands; Harmonised Standard for access to radio spectrum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11B77D68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>18-Δεκ</w:t>
            </w:r>
          </w:p>
        </w:tc>
        <w:tc>
          <w:tcPr>
            <w:tcW w:w="1229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4752AA3D" w14:textId="3589B0AB" w:rsidR="008178C9" w:rsidRPr="008178C9" w:rsidRDefault="006E1C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19-Οκτ</w:t>
            </w:r>
          </w:p>
        </w:tc>
      </w:tr>
      <w:tr w:rsidR="008178C9" w:rsidRPr="008178C9" w14:paraId="1659C03E" w14:textId="77777777" w:rsidTr="006E1CC9">
        <w:trPr>
          <w:trHeight w:val="646"/>
        </w:trPr>
        <w:tc>
          <w:tcPr>
            <w:tcW w:w="2316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2" w:space="0" w:color="000000"/>
            </w:tcBorders>
          </w:tcPr>
          <w:p w14:paraId="152CFA65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left="44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>ETSI EN 302 686 V2.1.0</w:t>
            </w:r>
          </w:p>
        </w:tc>
        <w:tc>
          <w:tcPr>
            <w:tcW w:w="4251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18" w:space="0" w:color="000000"/>
            </w:tcBorders>
          </w:tcPr>
          <w:p w14:paraId="798EC131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 w:line="242" w:lineRule="auto"/>
              <w:ind w:left="49"/>
              <w:rPr>
                <w:sz w:val="16"/>
                <w:szCs w:val="16"/>
                <w:lang w:val="en-US"/>
              </w:rPr>
            </w:pPr>
            <w:r w:rsidRPr="008178C9">
              <w:rPr>
                <w:sz w:val="16"/>
                <w:szCs w:val="16"/>
                <w:lang w:val="en-US"/>
              </w:rPr>
              <w:t xml:space="preserve">Intelligent Transport Systems (ITS); Radiocommunications equipment operating in the 63,72 GHz to 65,88 GHz frequency band; Harmonised Standard for access to radio spectrum </w:t>
            </w:r>
          </w:p>
        </w:tc>
        <w:tc>
          <w:tcPr>
            <w:tcW w:w="1296" w:type="dxa"/>
            <w:tcBorders>
              <w:top w:val="single" w:sz="36" w:space="0" w:color="000000"/>
              <w:left w:val="single" w:sz="18" w:space="0" w:color="000000"/>
              <w:bottom w:val="single" w:sz="36" w:space="0" w:color="000000"/>
              <w:right w:val="single" w:sz="12" w:space="0" w:color="000000"/>
            </w:tcBorders>
          </w:tcPr>
          <w:p w14:paraId="74966018" w14:textId="77777777" w:rsidR="008178C9" w:rsidRPr="008178C9" w:rsidRDefault="008178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z w:val="16"/>
                <w:szCs w:val="16"/>
              </w:rPr>
            </w:pPr>
            <w:r w:rsidRPr="008178C9">
              <w:rPr>
                <w:sz w:val="16"/>
                <w:szCs w:val="16"/>
              </w:rPr>
              <w:t>18-Δεκ</w:t>
            </w:r>
          </w:p>
        </w:tc>
        <w:tc>
          <w:tcPr>
            <w:tcW w:w="1229" w:type="dxa"/>
            <w:tcBorders>
              <w:top w:val="single" w:sz="36" w:space="0" w:color="000000"/>
              <w:left w:val="single" w:sz="12" w:space="0" w:color="000000"/>
              <w:bottom w:val="single" w:sz="36" w:space="0" w:color="000000"/>
              <w:right w:val="single" w:sz="8" w:space="0" w:color="000000"/>
            </w:tcBorders>
          </w:tcPr>
          <w:p w14:paraId="47F17D1E" w14:textId="51076C31" w:rsidR="008178C9" w:rsidRPr="008178C9" w:rsidRDefault="006E1CC9" w:rsidP="008178C9">
            <w:pPr>
              <w:pStyle w:val="TableParagraph"/>
              <w:kinsoku w:val="0"/>
              <w:overflowPunct w:val="0"/>
              <w:spacing w:before="30"/>
              <w:ind w:right="18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19-Οκτ</w:t>
            </w:r>
          </w:p>
        </w:tc>
      </w:tr>
    </w:tbl>
    <w:p w14:paraId="7186077F" w14:textId="77777777" w:rsidR="00DC27E4" w:rsidRPr="007E472C" w:rsidRDefault="00DC27E4" w:rsidP="00922C80">
      <w:pPr>
        <w:pStyle w:val="BodyText"/>
        <w:kinsoku w:val="0"/>
        <w:overflowPunct w:val="0"/>
        <w:spacing w:before="37"/>
        <w:rPr>
          <w:lang w:val="en-US"/>
        </w:rPr>
      </w:pPr>
    </w:p>
    <w:sectPr w:rsidR="00DC27E4" w:rsidRPr="007E472C">
      <w:pgSz w:w="11910" w:h="16850"/>
      <w:pgMar w:top="1680" w:right="1680" w:bottom="1240" w:left="700" w:header="1114" w:footer="105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C29E9" w14:textId="77777777" w:rsidR="002723DB" w:rsidRDefault="002723DB">
      <w:r>
        <w:separator/>
      </w:r>
    </w:p>
  </w:endnote>
  <w:endnote w:type="continuationSeparator" w:id="0">
    <w:p w14:paraId="47602C3D" w14:textId="77777777" w:rsidR="002723DB" w:rsidRDefault="00272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852DD" w14:textId="77777777" w:rsidR="002723DB" w:rsidRDefault="002723DB">
      <w:r>
        <w:separator/>
      </w:r>
    </w:p>
  </w:footnote>
  <w:footnote w:type="continuationSeparator" w:id="0">
    <w:p w14:paraId="61610089" w14:textId="77777777" w:rsidR="002723DB" w:rsidRDefault="002723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07F"/>
    <w:rsid w:val="000A3163"/>
    <w:rsid w:val="000A4101"/>
    <w:rsid w:val="00113282"/>
    <w:rsid w:val="0012641A"/>
    <w:rsid w:val="00167D53"/>
    <w:rsid w:val="00192412"/>
    <w:rsid w:val="00196BAF"/>
    <w:rsid w:val="001C480A"/>
    <w:rsid w:val="001C52B5"/>
    <w:rsid w:val="00223DD7"/>
    <w:rsid w:val="002723DB"/>
    <w:rsid w:val="002A0012"/>
    <w:rsid w:val="002A357F"/>
    <w:rsid w:val="002C38DB"/>
    <w:rsid w:val="002F007F"/>
    <w:rsid w:val="002F5BDD"/>
    <w:rsid w:val="00307D5B"/>
    <w:rsid w:val="00313F48"/>
    <w:rsid w:val="003264CA"/>
    <w:rsid w:val="00327B78"/>
    <w:rsid w:val="00381B93"/>
    <w:rsid w:val="003D5BE2"/>
    <w:rsid w:val="003D7F06"/>
    <w:rsid w:val="0046294D"/>
    <w:rsid w:val="004A0757"/>
    <w:rsid w:val="004C602C"/>
    <w:rsid w:val="004E08B2"/>
    <w:rsid w:val="004E1996"/>
    <w:rsid w:val="0053611D"/>
    <w:rsid w:val="005657E0"/>
    <w:rsid w:val="005A1563"/>
    <w:rsid w:val="005D433B"/>
    <w:rsid w:val="005D50B9"/>
    <w:rsid w:val="005E17FD"/>
    <w:rsid w:val="005F1E60"/>
    <w:rsid w:val="005F774E"/>
    <w:rsid w:val="00602602"/>
    <w:rsid w:val="00626C45"/>
    <w:rsid w:val="0063156E"/>
    <w:rsid w:val="00641FAF"/>
    <w:rsid w:val="00674D4A"/>
    <w:rsid w:val="0068273E"/>
    <w:rsid w:val="006C1523"/>
    <w:rsid w:val="006E1CC9"/>
    <w:rsid w:val="006E6AD7"/>
    <w:rsid w:val="00701A35"/>
    <w:rsid w:val="00705864"/>
    <w:rsid w:val="007101BF"/>
    <w:rsid w:val="00712EC4"/>
    <w:rsid w:val="00771867"/>
    <w:rsid w:val="0077638C"/>
    <w:rsid w:val="007852B4"/>
    <w:rsid w:val="007A65E9"/>
    <w:rsid w:val="007C2636"/>
    <w:rsid w:val="007D406B"/>
    <w:rsid w:val="007E472C"/>
    <w:rsid w:val="008178C9"/>
    <w:rsid w:val="00835B1E"/>
    <w:rsid w:val="00871DE8"/>
    <w:rsid w:val="00922C80"/>
    <w:rsid w:val="009402F1"/>
    <w:rsid w:val="0095723F"/>
    <w:rsid w:val="009673ED"/>
    <w:rsid w:val="009811C2"/>
    <w:rsid w:val="009C32C2"/>
    <w:rsid w:val="009C414A"/>
    <w:rsid w:val="00A87534"/>
    <w:rsid w:val="00AA0301"/>
    <w:rsid w:val="00AA6FC3"/>
    <w:rsid w:val="00AB5DC0"/>
    <w:rsid w:val="00AB650F"/>
    <w:rsid w:val="00AC1840"/>
    <w:rsid w:val="00AC1CDA"/>
    <w:rsid w:val="00B13AC8"/>
    <w:rsid w:val="00B51F83"/>
    <w:rsid w:val="00B62EA7"/>
    <w:rsid w:val="00B9025C"/>
    <w:rsid w:val="00BF4A3E"/>
    <w:rsid w:val="00C3394D"/>
    <w:rsid w:val="00CA6157"/>
    <w:rsid w:val="00CB5BA2"/>
    <w:rsid w:val="00CB6541"/>
    <w:rsid w:val="00D577FC"/>
    <w:rsid w:val="00D8388E"/>
    <w:rsid w:val="00DB5DDA"/>
    <w:rsid w:val="00DC27E4"/>
    <w:rsid w:val="00DE2F74"/>
    <w:rsid w:val="00E55CFF"/>
    <w:rsid w:val="00E942D1"/>
    <w:rsid w:val="00EA7BD4"/>
    <w:rsid w:val="00EB705E"/>
    <w:rsid w:val="00EE00E5"/>
    <w:rsid w:val="00EF3583"/>
    <w:rsid w:val="00F44543"/>
    <w:rsid w:val="00F474DF"/>
    <w:rsid w:val="00F567A5"/>
    <w:rsid w:val="00F721DE"/>
    <w:rsid w:val="00FE7B78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9E5B78"/>
  <w14:defaultImageDpi w14:val="0"/>
  <w15:docId w15:val="{CB85224C-1841-430C-B9B7-DB258245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CC9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adjustRightInd w:val="0"/>
    </w:pPr>
    <w:rPr>
      <w:rFonts w:ascii="Tahoma" w:hAnsi="Tahoma" w:cs="Tahoma"/>
      <w:b/>
      <w:bCs/>
      <w:sz w:val="18"/>
      <w:szCs w:val="18"/>
    </w:rPr>
  </w:style>
  <w:style w:type="character" w:customStyle="1" w:styleId="BodyTextChar">
    <w:name w:val="Body Text Char"/>
    <w:link w:val="BodyText"/>
    <w:uiPriority w:val="99"/>
    <w:semiHidden/>
    <w:rPr>
      <w:rFonts w:ascii="Tahoma" w:hAnsi="Tahoma" w:cs="Tahoma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"/>
    <w:qFormat/>
    <w:pPr>
      <w:widowControl w:val="0"/>
      <w:autoSpaceDE w:val="0"/>
      <w:autoSpaceDN w:val="0"/>
      <w:adjustRightInd w:val="0"/>
      <w:spacing w:before="3"/>
      <w:ind w:left="1748" w:right="2623"/>
      <w:jc w:val="center"/>
    </w:pPr>
    <w:rPr>
      <w:rFonts w:ascii="Tahoma" w:hAnsi="Tahoma" w:cs="Tahoma"/>
      <w:b/>
      <w:bCs/>
      <w:sz w:val="28"/>
      <w:szCs w:val="28"/>
    </w:rPr>
  </w:style>
  <w:style w:type="character" w:customStyle="1" w:styleId="TitleChar">
    <w:name w:val="Title Char"/>
    <w:link w:val="Title"/>
    <w:uiPriority w:val="10"/>
    <w:rPr>
      <w:rFonts w:ascii="Aptos Display" w:eastAsia="Times New Roman" w:hAnsi="Aptos Display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  <w:adjustRightInd w:val="0"/>
    </w:p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adjustRightInd w:val="0"/>
      <w:spacing w:before="46"/>
    </w:pPr>
    <w:rPr>
      <w:rFonts w:ascii="Tahoma" w:hAnsi="Tahoma" w:cs="Tahoma"/>
    </w:rPr>
  </w:style>
  <w:style w:type="paragraph" w:styleId="Header">
    <w:name w:val="header"/>
    <w:basedOn w:val="Normal"/>
    <w:link w:val="HeaderChar"/>
    <w:uiPriority w:val="99"/>
    <w:unhideWhenUsed/>
    <w:rsid w:val="00AB650F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character" w:customStyle="1" w:styleId="HeaderChar">
    <w:name w:val="Header Char"/>
    <w:link w:val="Header"/>
    <w:uiPriority w:val="99"/>
    <w:rsid w:val="00AB650F"/>
    <w:rPr>
      <w:rFonts w:ascii="Tahoma" w:hAnsi="Tahoma" w:cs="Tahoma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B650F"/>
    <w:pPr>
      <w:widowControl w:val="0"/>
      <w:tabs>
        <w:tab w:val="center" w:pos="4153"/>
        <w:tab w:val="right" w:pos="8306"/>
      </w:tabs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character" w:customStyle="1" w:styleId="FooterChar">
    <w:name w:val="Footer Char"/>
    <w:link w:val="Footer"/>
    <w:uiPriority w:val="99"/>
    <w:rsid w:val="00AB650F"/>
    <w:rPr>
      <w:rFonts w:ascii="Tahoma" w:hAnsi="Tahoma" w:cs="Tahoma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5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225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Psyrris</dc:creator>
  <cp:keywords/>
  <dc:description/>
  <cp:lastModifiedBy>Alexandros Psyrris</cp:lastModifiedBy>
  <cp:revision>3</cp:revision>
  <dcterms:created xsi:type="dcterms:W3CDTF">2026-11-03T11:21:00Z</dcterms:created>
  <dcterms:modified xsi:type="dcterms:W3CDTF">2026-11-03T11:28:00Z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Access® for Microsoft 365</vt:lpwstr>
  </property>
  <property fmtid="{D5CDD505-2E9C-101B-9397-08002B2CF9AE}" pid="3" name="Producer">
    <vt:lpwstr>Microsoft® Access® for Microsoft 365</vt:lpwstr>
  </property>
</Properties>
</file>